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995076">
        <w:rPr>
          <w:b/>
          <w:sz w:val="40"/>
          <w:szCs w:val="40"/>
        </w:rPr>
        <w:t>Coordinatore della sicurezza in fase di progettazione e di esecuzione dei lavori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6C7672">
        <w:rPr>
          <w:b/>
          <w:sz w:val="28"/>
          <w:szCs w:val="28"/>
        </w:rPr>
        <w:t>120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995076" w:rsidRPr="00995076">
        <w:t xml:space="preserve">art. 98 e l’Allegato XIV del </w:t>
      </w:r>
      <w:proofErr w:type="spellStart"/>
      <w:proofErr w:type="gramStart"/>
      <w:r w:rsidR="00995076" w:rsidRPr="00995076">
        <w:t>D.Lgs</w:t>
      </w:r>
      <w:proofErr w:type="gramEnd"/>
      <w:r w:rsidR="00995076" w:rsidRPr="00995076">
        <w:t>.</w:t>
      </w:r>
      <w:proofErr w:type="spellEnd"/>
      <w:r w:rsidR="00995076" w:rsidRPr="00995076">
        <w:t xml:space="preserve"> 81/2008</w:t>
      </w:r>
    </w:p>
    <w:p w:rsidR="00975C26" w:rsidRDefault="00975C26">
      <w:pPr>
        <w:rPr>
          <w:b/>
        </w:rPr>
      </w:pPr>
      <w:bookmarkStart w:id="0" w:name="_GoBack"/>
      <w:bookmarkEnd w:id="0"/>
    </w:p>
    <w:p w:rsidR="001D7C0F" w:rsidRDefault="00460BBB">
      <w:pPr>
        <w:rPr>
          <w:b/>
        </w:rPr>
      </w:pPr>
      <w:r w:rsidRPr="00460BBB">
        <w:rPr>
          <w:b/>
        </w:rPr>
        <w:t>Contenuti minimi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Modulo Giuridico (28 ore)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La legislazione di base in ma</w:t>
      </w:r>
      <w:r>
        <w:t xml:space="preserve">teria di sicurezza e di igiene </w:t>
      </w:r>
      <w:r w:rsidRPr="00995076">
        <w:t>sul lavoro; Il Testo Unico in materia di salute e sicurezza nei luoghi di lavoro con particolare riferimento al Titolo I. D.L.231/01 Modelli organizzativi e responsabilità. 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>
        <w:t>Accordi Stato regione</w:t>
      </w:r>
      <w:r w:rsidRPr="00995076">
        <w:t> sulla formazione dei lavoratori, Datore Lavoro-</w:t>
      </w:r>
      <w:proofErr w:type="spellStart"/>
      <w:r w:rsidRPr="00995076">
        <w:t>Rspp</w:t>
      </w:r>
      <w:proofErr w:type="spellEnd"/>
      <w:r w:rsidRPr="00995076">
        <w:t>, Macchine complesse, qualificazione dei formatori e linee interpretative. Decreto del Fare 2013.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3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La legislazione specifica in materia di salute e sicurezza nei cantieri temporanei o mobili e nei lavo</w:t>
      </w:r>
      <w:r>
        <w:t xml:space="preserve">ri in quota.  Il titolo IV del </w:t>
      </w:r>
      <w:r w:rsidRPr="00995076">
        <w:t xml:space="preserve">Testo Unico in materia di salute e sicurezza nei luoghi di lavoro; Tecniche pianificazione appalti e </w:t>
      </w:r>
      <w:proofErr w:type="gramStart"/>
      <w:r w:rsidRPr="00995076">
        <w:t>LL.PP..</w:t>
      </w:r>
      <w:proofErr w:type="gramEnd"/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4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Le figure interessate alla realizzazione dell’opera: i compiti, gli </w:t>
      </w:r>
      <w:proofErr w:type="spellStart"/>
      <w:proofErr w:type="gramStart"/>
      <w:r w:rsidRPr="00995076">
        <w:t>obblighi;La</w:t>
      </w:r>
      <w:proofErr w:type="spellEnd"/>
      <w:proofErr w:type="gramEnd"/>
      <w:r w:rsidRPr="00995076">
        <w:t xml:space="preserve"> disciplina sanzionatoria e le procedure ispettive; Modelli organizzativi sicurezza, appalto LL.PP..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5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Metodologie per la valutazione dei rischi e accettabilità del rischio. Tipologie di rischi. Le procedure per le ditte esterne Art.26 del </w:t>
      </w:r>
      <w:proofErr w:type="spellStart"/>
      <w:proofErr w:type="gramStart"/>
      <w:r w:rsidRPr="00995076">
        <w:t>D.Lgs</w:t>
      </w:r>
      <w:proofErr w:type="spellEnd"/>
      <w:proofErr w:type="gramEnd"/>
      <w:r w:rsidRPr="00995076">
        <w:t xml:space="preserve"> 81/08 e ss.mm..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6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Responsabilità penali Imprese edili. La CCNL in edilizia. Il ruolo degli Enti bilaterali. Attività di partecipazione dei lavoratori. Libretto formativo.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Modulo Tecnico (52 ore)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7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Lavori in altezza, cadute dall’alto. Imbracature. Ponteggi, </w:t>
      </w:r>
      <w:proofErr w:type="spellStart"/>
      <w:r w:rsidRPr="00995076">
        <w:t>Pimus</w:t>
      </w:r>
      <w:proofErr w:type="spellEnd"/>
      <w:r w:rsidRPr="00995076">
        <w:t xml:space="preserve"> e salvataggio.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8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L’organizzazione in sicurezza del Cantiere ed apprestamenti. Gli obblighi documentali da parte dei committenti, impresa affidataria, </w:t>
      </w:r>
      <w:proofErr w:type="gramStart"/>
      <w:r w:rsidRPr="00995076">
        <w:t>etc..</w:t>
      </w:r>
      <w:proofErr w:type="gramEnd"/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9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lastRenderedPageBreak/>
        <w:t>Il Medico Competente, sorveglianza sanitaria, malattie professionali ed il primo soccorso. I rischi chimici e biologici.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10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Il rischio elettrico e la protezione contro le scariche atmosferiche. Omologazioni e verifiche periodiche. Norme tecniche-CEI. Impianto elettrico e di terra nei cantieri,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11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luoghi di lavoro. Campi elettromagnetici e radiazioni. Rischio meccanico.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12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rischi connessi all’uso di macchine e attrezzature di lavoro. Macchine da cantiere.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13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rischi connessi alle bonifiche da amianto. I rischi nei lavori di montaggio e smontaggio di elementi prefabbricati.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14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rischi fisici: rumore, vibrazioni.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15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Rischi da movimentazione manuale dei carichi. La movimentazione meccanica. Scavi, demolizioni, opere in sotterraneo ed in galleria.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16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rischi di incend</w:t>
      </w:r>
      <w:r>
        <w:t>io e di esplosione. Antincendio</w:t>
      </w:r>
      <w:r w:rsidRPr="00995076">
        <w:t> ed emergenze.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17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I dispositivi di protezione individuali e la segnaletica di sicurezza. Dpi </w:t>
      </w:r>
      <w:proofErr w:type="spellStart"/>
      <w:r w:rsidRPr="00995076">
        <w:t>anticaduta</w:t>
      </w:r>
      <w:proofErr w:type="spellEnd"/>
      <w:r w:rsidRPr="00995076">
        <w:t xml:space="preserve"> e arresto caduta.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br/>
        <w:t>Modulo Metodologico / Organizzativo (16 ore)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18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I contenuti minimi del piano di sicurezza e di coordinamento, del piano sostitutivo di sicurezza e del piano operativo di sicurezza. La sicurezza nel montaggio di palchi.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Collegamento multimediale (tramite Skype) con tutor formatore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19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>
        <w:t>I criteri metodologici per</w:t>
      </w:r>
      <w:r w:rsidRPr="00995076">
        <w:t>: a) l’elaborazione del piano di sicurezza e di coordinamento e le attività pratiche del PSC; b) PSC, POS e DUVRI nel cantiere;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20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>
        <w:t>I criteri metodologici per</w:t>
      </w:r>
      <w:r w:rsidRPr="00995076">
        <w:t>:</w:t>
      </w:r>
      <w:r>
        <w:t xml:space="preserve"> </w:t>
      </w:r>
      <w:r w:rsidRPr="00995076">
        <w:t>c) l’elaborazione del fascicolo; d) l’elaborazione del P.I.M.U.S. (Piano di Montaggio, Uso, Smontaggio dei ponteggi; e) La stima dei costi della sicurezza.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21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Teorie e tecniche di comunicazione, orientate alla risoluzione di problemi e alla cooperazione; teorie di gestione dei gruppi e leadership. Conflitto e negoziazione. I rapporti con i Rappresentanti dei lavoratori per la sicurezza.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pratica (24 ore)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lastRenderedPageBreak/>
        <w:t>Parte 22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Piani di Sicurezza e Coordinamento.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23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Progettazione in sicurezza e salute di opere edili per ambienti di vita e di lavoro. Realtà operativa PSC e POS.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24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Le forniture nei cantieri. DUVRI nelle lavorazioni edili.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25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 xml:space="preserve">Attori sicurezza nei cantieri temporanei e/o mobili. Il </w:t>
      </w:r>
      <w:proofErr w:type="spellStart"/>
      <w:r w:rsidRPr="00995076">
        <w:t>Cad</w:t>
      </w:r>
      <w:proofErr w:type="spellEnd"/>
      <w:r w:rsidRPr="00995076">
        <w:t xml:space="preserve"> 3 D nella sicurezza cantieri.</w:t>
      </w:r>
    </w:p>
    <w:p w:rsidR="00995076" w:rsidRPr="00995076" w:rsidRDefault="00995076" w:rsidP="00995076">
      <w:pPr>
        <w:shd w:val="clear" w:color="auto" w:fill="FFFFFF"/>
        <w:spacing w:before="150" w:after="150" w:line="240" w:lineRule="auto"/>
        <w:jc w:val="both"/>
        <w:outlineLvl w:val="3"/>
      </w:pPr>
      <w:r w:rsidRPr="00995076">
        <w:t>Parte 26</w:t>
      </w:r>
    </w:p>
    <w:p w:rsidR="00995076" w:rsidRPr="00995076" w:rsidRDefault="00995076" w:rsidP="00995076">
      <w:pPr>
        <w:shd w:val="clear" w:color="auto" w:fill="FFFFFF"/>
        <w:spacing w:after="150" w:line="240" w:lineRule="auto"/>
        <w:jc w:val="both"/>
      </w:pPr>
      <w:r w:rsidRPr="00995076">
        <w:t>L’informazione e la formazione in edilizia e ruolo del Coordinatore per la Sicurezza in fase di esecuzione.</w:t>
      </w:r>
    </w:p>
    <w:sectPr w:rsidR="00995076" w:rsidRPr="00995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B4485"/>
    <w:rsid w:val="00460BBB"/>
    <w:rsid w:val="004A5F46"/>
    <w:rsid w:val="005C0988"/>
    <w:rsid w:val="005E46D2"/>
    <w:rsid w:val="00625B85"/>
    <w:rsid w:val="006C7672"/>
    <w:rsid w:val="007273ED"/>
    <w:rsid w:val="007F6B99"/>
    <w:rsid w:val="008F2653"/>
    <w:rsid w:val="009434F2"/>
    <w:rsid w:val="00975C26"/>
    <w:rsid w:val="009931DC"/>
    <w:rsid w:val="00995076"/>
    <w:rsid w:val="00A27E51"/>
    <w:rsid w:val="00A41E02"/>
    <w:rsid w:val="00A61DC5"/>
    <w:rsid w:val="00C7714A"/>
    <w:rsid w:val="00CB073D"/>
    <w:rsid w:val="00CC2350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78F6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F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EE64356C</Template>
  <TotalTime>0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2023-02-17T14:49:00Z</dcterms:created>
  <dcterms:modified xsi:type="dcterms:W3CDTF">2023-02-17T14:49:00Z</dcterms:modified>
</cp:coreProperties>
</file>